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6D4A7FE1"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«___»  __________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Саидова Насрудина Саидовича</w:t>
      </w:r>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0771FAFD" w14:textId="77777777" w:rsidR="0029130C" w:rsidRPr="00045C0C" w:rsidRDefault="0029130C" w:rsidP="0029130C">
      <w:pPr>
        <w:pStyle w:val="af5"/>
        <w:widowControl/>
        <w:numPr>
          <w:ilvl w:val="1"/>
          <w:numId w:val="8"/>
        </w:numPr>
        <w:suppressAutoHyphens/>
        <w:autoSpaceDN w:val="0"/>
        <w:spacing w:line="320" w:lineRule="exact"/>
        <w:ind w:left="0" w:right="57" w:firstLine="709"/>
        <w:contextualSpacing w:val="0"/>
        <w:jc w:val="both"/>
        <w:textAlignment w:val="baseline"/>
      </w:pPr>
      <w:bookmarkStart w:id="2" w:name="zPredmet"/>
      <w:bookmarkEnd w:id="2"/>
      <w:r w:rsidRPr="00045C0C">
        <w:rPr>
          <w:sz w:val="24"/>
          <w:szCs w:val="24"/>
        </w:rPr>
        <w:t xml:space="preserve">Заказчик поручает, а </w:t>
      </w:r>
      <w:r w:rsidRPr="00045C0C">
        <w:rPr>
          <w:rStyle w:val="normaltextrun"/>
          <w:sz w:val="24"/>
          <w:szCs w:val="24"/>
        </w:rPr>
        <w:t>Исполнитель</w:t>
      </w:r>
      <w:r w:rsidRPr="00045C0C">
        <w:rPr>
          <w:sz w:val="24"/>
          <w:szCs w:val="24"/>
        </w:rPr>
        <w:t xml:space="preserve"> принимает на себя обязательства:</w:t>
      </w:r>
    </w:p>
    <w:p w14:paraId="3AB68018" w14:textId="61618CBA" w:rsidR="0029130C" w:rsidRPr="00045C0C" w:rsidRDefault="0029130C" w:rsidP="0029130C">
      <w:pPr>
        <w:pStyle w:val="Standard"/>
        <w:spacing w:line="320" w:lineRule="exact"/>
        <w:ind w:firstLine="709"/>
        <w:jc w:val="both"/>
      </w:pPr>
      <w:r w:rsidRPr="00045C0C">
        <w:t xml:space="preserve">Оказать </w:t>
      </w:r>
      <w:r>
        <w:t xml:space="preserve">информационные </w:t>
      </w:r>
      <w:r w:rsidRPr="00045C0C">
        <w:t xml:space="preserve">услуги </w:t>
      </w:r>
      <w:r>
        <w:t xml:space="preserve">с использованием экземпляров Справочно-информационной системы «КонсультантПлюс» </w:t>
      </w:r>
      <w:r w:rsidRPr="00045C0C">
        <w:t xml:space="preserve">(извещение о проведении запроса котировок № </w:t>
      </w:r>
      <w:r w:rsidRPr="00045C0C">
        <w:rPr>
          <w:color w:val="342A06"/>
        </w:rPr>
        <w:t>21144000006 (1</w:t>
      </w:r>
      <w:r>
        <w:rPr>
          <w:color w:val="342A06"/>
        </w:rPr>
        <w:t>68</w:t>
      </w:r>
      <w:r w:rsidRPr="00045C0C">
        <w:rPr>
          <w:color w:val="342A06"/>
        </w:rPr>
        <w:t>/К)</w:t>
      </w:r>
      <w:r w:rsidRPr="00045C0C">
        <w:t xml:space="preserve"> от </w:t>
      </w:r>
      <w:r>
        <w:t>14</w:t>
      </w:r>
      <w:r w:rsidRPr="00045C0C">
        <w:t>.</w:t>
      </w:r>
      <w:r>
        <w:t>12</w:t>
      </w:r>
      <w:r w:rsidRPr="00045C0C">
        <w:t>.2021г.) в соответствии с Требованиями к оказанию услуг (Приложение № 1 к Договору).</w:t>
      </w:r>
    </w:p>
    <w:p w14:paraId="065CFDCD" w14:textId="77777777" w:rsidR="0029130C" w:rsidRPr="00045C0C" w:rsidRDefault="0029130C" w:rsidP="0029130C">
      <w:pPr>
        <w:pStyle w:val="Standard"/>
        <w:spacing w:line="320" w:lineRule="exact"/>
        <w:ind w:firstLine="709"/>
        <w:jc w:val="both"/>
      </w:pPr>
      <w:r w:rsidRPr="00045C0C">
        <w:t>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8815639" w14:textId="77777777" w:rsidR="0029130C" w:rsidRPr="00045C0C" w:rsidRDefault="0029130C" w:rsidP="0029130C">
      <w:pPr>
        <w:pStyle w:val="Textbody"/>
        <w:spacing w:after="0" w:line="320" w:lineRule="exact"/>
        <w:ind w:firstLine="709"/>
        <w:jc w:val="both"/>
        <w:rPr>
          <w:rFonts w:ascii="Times New Roman" w:hAnsi="Times New Roman"/>
          <w:lang w:val="ru-RU"/>
        </w:rPr>
      </w:pPr>
      <w:r w:rsidRPr="00045C0C">
        <w:rPr>
          <w:rFonts w:ascii="Times New Roman" w:hAnsi="Times New Roman"/>
          <w:lang w:val="ru-RU"/>
        </w:rPr>
        <w:t>1.2. Оказание услуг/выполнение работ осуществляется по адресу:</w:t>
      </w:r>
    </w:p>
    <w:p w14:paraId="54D59DC0" w14:textId="77777777" w:rsidR="0029130C" w:rsidRDefault="0029130C" w:rsidP="0029130C">
      <w:pPr>
        <w:pStyle w:val="Standard"/>
        <w:spacing w:line="360" w:lineRule="exact"/>
        <w:ind w:firstLine="709"/>
        <w:jc w:val="both"/>
        <w:rPr>
          <w:rFonts w:eastAsia="Calibri"/>
        </w:rPr>
      </w:pPr>
      <w:r w:rsidRPr="00045C0C">
        <w:rPr>
          <w:rFonts w:eastAsia="Calibri"/>
          <w:kern w:val="3"/>
        </w:rPr>
        <w:t xml:space="preserve">362002, РСО-Алания, г. Владикавказ, ул. </w:t>
      </w:r>
      <w:r>
        <w:rPr>
          <w:rFonts w:eastAsia="Calibri"/>
          <w:kern w:val="3"/>
        </w:rPr>
        <w:t>Чкалова, 16, главный корпус.</w:t>
      </w:r>
    </w:p>
    <w:p w14:paraId="7C51FE0F" w14:textId="77777777" w:rsidR="00201A3E" w:rsidRDefault="00201A3E" w:rsidP="0029130C">
      <w:pPr>
        <w:pStyle w:val="ac"/>
        <w:spacing w:after="0" w:line="240" w:lineRule="atLeast"/>
        <w:ind w:firstLine="709"/>
        <w:jc w:val="left"/>
        <w:rPr>
          <w:i/>
          <w:u w:val="single"/>
        </w:rPr>
      </w:pPr>
    </w:p>
    <w:p w14:paraId="708C6F18" w14:textId="288C861C" w:rsidR="00201A3E" w:rsidRDefault="006E161C" w:rsidP="00EB0944">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6BFEC9B1" w14:textId="421F1FC9" w:rsidR="00EB0944" w:rsidRPr="006A6091" w:rsidRDefault="006A6091" w:rsidP="006A6091">
      <w:pPr>
        <w:pStyle w:val="af5"/>
        <w:ind w:left="0" w:firstLine="709"/>
        <w:jc w:val="both"/>
        <w:rPr>
          <w:sz w:val="24"/>
          <w:szCs w:val="24"/>
        </w:rPr>
      </w:pPr>
      <w:r w:rsidRPr="006A6091">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7E9D570F" w:rsidR="00201A3E" w:rsidRPr="00D76648" w:rsidRDefault="006E161C">
      <w:pPr>
        <w:pStyle w:val="ac"/>
        <w:spacing w:after="0" w:line="240" w:lineRule="atLeast"/>
        <w:ind w:firstLine="709"/>
        <w:jc w:val="both"/>
      </w:pPr>
      <w:r>
        <w:t>2.1. Начало оказания услуг –</w:t>
      </w:r>
      <w:r w:rsidR="006A6091">
        <w:t xml:space="preserve"> </w:t>
      </w:r>
      <w:r w:rsidR="00D76648" w:rsidRPr="00D76648">
        <w:t>01</w:t>
      </w:r>
      <w:r w:rsidR="00D76648">
        <w:t>.01.2022 года</w:t>
      </w:r>
    </w:p>
    <w:p w14:paraId="44AA06B9" w14:textId="094AAE4B" w:rsidR="00201A3E" w:rsidRDefault="006E161C">
      <w:pPr>
        <w:pStyle w:val="ac"/>
        <w:spacing w:after="0" w:line="240" w:lineRule="atLeast"/>
        <w:ind w:firstLine="709"/>
        <w:jc w:val="both"/>
      </w:pPr>
      <w:r>
        <w:t xml:space="preserve">Окончание оказания услуг </w:t>
      </w:r>
      <w:r w:rsidR="00D76648">
        <w:t>–</w:t>
      </w:r>
      <w:r w:rsidR="006A6091">
        <w:t xml:space="preserve">  </w:t>
      </w:r>
      <w:r w:rsidR="0058606D">
        <w:t>3</w:t>
      </w:r>
      <w:r w:rsidR="006A6091">
        <w:t>1.1</w:t>
      </w:r>
      <w:r w:rsidR="0058606D">
        <w:t>2</w:t>
      </w:r>
      <w:r w:rsidR="006A6091">
        <w:t>.202</w:t>
      </w:r>
      <w:r w:rsidR="00857960">
        <w:t>2</w:t>
      </w:r>
      <w:r w:rsidR="006A6091">
        <w:t xml:space="preserve"> года</w:t>
      </w:r>
      <w:r w:rsidR="0058606D">
        <w:t xml:space="preserve"> (включительно).</w:t>
      </w:r>
      <w:r>
        <w:t xml:space="preserve"> </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2519C480" w:rsidR="00201A3E" w:rsidRDefault="006E161C">
      <w:pPr>
        <w:pStyle w:val="ac"/>
        <w:tabs>
          <w:tab w:val="left" w:pos="567"/>
        </w:tabs>
        <w:spacing w:after="0" w:line="240" w:lineRule="atLeast"/>
        <w:ind w:firstLine="709"/>
        <w:jc w:val="both"/>
      </w:pPr>
      <w:r>
        <w:t xml:space="preserve">3.2. Оплата услуг производится </w:t>
      </w:r>
      <w:r w:rsidRPr="0058606D">
        <w:t>Заказчиком  ежемесячно после оказания всех Услуг</w:t>
      </w:r>
      <w:r w:rsidR="0058606D">
        <w:t xml:space="preserve"> </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w:t>
      </w:r>
      <w:r w:rsidR="006E161C">
        <w:lastRenderedPageBreak/>
        <w:t xml:space="preserve">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3EF89BE2" w:rsidR="00201A3E" w:rsidRDefault="006E161C">
      <w:pPr>
        <w:pStyle w:val="20"/>
        <w:spacing w:after="0" w:line="240" w:lineRule="atLeast"/>
        <w:ind w:firstLine="709"/>
        <w:jc w:val="both"/>
        <w:rPr>
          <w:rFonts w:ascii="Times New Roman" w:hAnsi="Times New Roman"/>
          <w:i/>
          <w:sz w:val="24"/>
          <w:szCs w:val="24"/>
        </w:rPr>
      </w:pPr>
      <w:r w:rsidRPr="006A6091">
        <w:rPr>
          <w:rFonts w:ascii="Times New Roman" w:hAnsi="Times New Roman"/>
          <w:sz w:val="24"/>
          <w:szCs w:val="24"/>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sidRPr="006A6091">
        <w:rPr>
          <w:rFonts w:ascii="Times New Roman" w:hAnsi="Times New Roman"/>
          <w:sz w:val="24"/>
          <w:szCs w:val="24"/>
        </w:rPr>
        <w:t xml:space="preserve"> </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w:t>
      </w:r>
      <w:r>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e-mail: </w:t>
      </w:r>
      <w:r w:rsidR="001862C1">
        <w:rPr>
          <w:rFonts w:ascii="Times New Roman" w:hAnsi="Times New Roman"/>
          <w:color w:val="000000"/>
          <w:spacing w:val="2"/>
          <w:sz w:val="24"/>
          <w:szCs w:val="24"/>
          <w:lang w:val="en-US" w:bidi="ru-RU"/>
        </w:rPr>
        <w:t>rzdbolnica</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ru</w:t>
      </w:r>
      <w:r>
        <w:rPr>
          <w:rFonts w:ascii="Times New Roman" w:hAnsi="Times New Roman"/>
          <w:sz w:val="24"/>
          <w:szCs w:val="24"/>
        </w:rPr>
        <w:t>, официальный сайт www.</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5722D0D3"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sidR="00857960">
        <w:rPr>
          <w:rFonts w:ascii="Times New Roman" w:hAnsi="Times New Roman"/>
          <w:sz w:val="24"/>
          <w:szCs w:val="24"/>
          <w:highlight w:val="yellow"/>
        </w:rPr>
        <w:t>тел.</w:t>
      </w:r>
      <w:r>
        <w:rPr>
          <w:rFonts w:ascii="Times New Roman" w:hAnsi="Times New Roman"/>
          <w:sz w:val="24"/>
          <w:szCs w:val="24"/>
          <w:highlight w:val="yellow"/>
        </w:rPr>
        <w:t>_____________________</w:t>
      </w:r>
      <w:r>
        <w:rPr>
          <w:rFonts w:ascii="Times New Roman" w:hAnsi="Times New Roman"/>
          <w:sz w:val="24"/>
          <w:szCs w:val="24"/>
        </w:rPr>
        <w:t xml:space="preserve">, </w:t>
      </w:r>
      <w:r w:rsidR="00857960">
        <w:rPr>
          <w:rFonts w:ascii="Times New Roman" w:hAnsi="Times New Roman"/>
          <w:color w:val="000000"/>
          <w:spacing w:val="2"/>
          <w:sz w:val="24"/>
          <w:szCs w:val="24"/>
          <w:lang w:bidi="ru-RU"/>
        </w:rPr>
        <w:t xml:space="preserve">e-mail: </w:t>
      </w:r>
      <w:r>
        <w:rPr>
          <w:rFonts w:ascii="Times New Roman" w:hAnsi="Times New Roman"/>
          <w:sz w:val="24"/>
          <w:szCs w:val="24"/>
          <w:highlight w:val="yellow"/>
        </w:rPr>
        <w:t>________________</w:t>
      </w:r>
      <w:r>
        <w:rPr>
          <w:rFonts w:ascii="Times New Roman" w:hAnsi="Times New Roman"/>
          <w:sz w:val="24"/>
          <w:szCs w:val="24"/>
        </w:rPr>
        <w:t xml:space="preserve"> .</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6207484D"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6280F9AD"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w:t>
      </w: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19462E01" w14:textId="77777777" w:rsidR="0058606D" w:rsidRDefault="0058606D">
      <w:pPr>
        <w:spacing w:after="0" w:line="240" w:lineRule="atLeast"/>
        <w:ind w:firstLine="709"/>
        <w:jc w:val="right"/>
        <w:rPr>
          <w:rFonts w:ascii="Times New Roman" w:hAnsi="Times New Roman"/>
          <w:sz w:val="24"/>
          <w:szCs w:val="24"/>
        </w:rPr>
      </w:pPr>
    </w:p>
    <w:p w14:paraId="65FBED67" w14:textId="77777777" w:rsidR="00857960" w:rsidRDefault="00857960">
      <w:pPr>
        <w:spacing w:after="0" w:line="240" w:lineRule="atLeast"/>
        <w:ind w:firstLine="709"/>
        <w:jc w:val="right"/>
        <w:rPr>
          <w:rFonts w:ascii="Times New Roman" w:hAnsi="Times New Roman"/>
          <w:sz w:val="24"/>
          <w:szCs w:val="24"/>
        </w:rPr>
      </w:pPr>
    </w:p>
    <w:p w14:paraId="79344882" w14:textId="6DB2232A"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rsidTr="006A6091">
        <w:trPr>
          <w:jc w:val="center"/>
        </w:trPr>
        <w:tc>
          <w:tcPr>
            <w:tcW w:w="492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92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«___»  __________ 20</w:t>
            </w:r>
            <w:r w:rsidR="005E1AD7">
              <w:rPr>
                <w:rFonts w:ascii="Times New Roman" w:hAnsi="Times New Roman"/>
                <w:sz w:val="24"/>
                <w:szCs w:val="24"/>
              </w:rPr>
              <w:t>21</w:t>
            </w:r>
            <w:r>
              <w:rPr>
                <w:rFonts w:ascii="Times New Roman" w:hAnsi="Times New Roman"/>
                <w:sz w:val="24"/>
                <w:szCs w:val="24"/>
              </w:rPr>
              <w:t> г.</w:t>
            </w:r>
          </w:p>
        </w:tc>
      </w:tr>
    </w:tbl>
    <w:p w14:paraId="1794A83A" w14:textId="2A4F86B5" w:rsidR="00201A3E" w:rsidRDefault="00201A3E">
      <w:pPr>
        <w:spacing w:after="0" w:line="240" w:lineRule="atLeast"/>
        <w:ind w:firstLine="709"/>
        <w:jc w:val="both"/>
        <w:rPr>
          <w:rFonts w:ascii="Times New Roman" w:hAnsi="Times New Roman"/>
          <w:sz w:val="24"/>
          <w:szCs w:val="24"/>
        </w:rPr>
      </w:pPr>
    </w:p>
    <w:p w14:paraId="47EF89D9" w14:textId="52981A76" w:rsidR="0029130C" w:rsidRPr="00197CB9" w:rsidRDefault="00197CB9" w:rsidP="00C7108C">
      <w:pPr>
        <w:pStyle w:val="af5"/>
        <w:numPr>
          <w:ilvl w:val="0"/>
          <w:numId w:val="9"/>
        </w:numPr>
        <w:spacing w:line="240" w:lineRule="atLeast"/>
        <w:ind w:left="0" w:firstLine="709"/>
        <w:jc w:val="both"/>
        <w:rPr>
          <w:b/>
          <w:bCs/>
          <w:sz w:val="24"/>
          <w:szCs w:val="24"/>
        </w:rPr>
      </w:pPr>
      <w:r>
        <w:rPr>
          <w:rFonts w:eastAsia="SimSun" w:cs="Mangal"/>
          <w:b/>
          <w:bCs/>
          <w:kern w:val="3"/>
          <w:sz w:val="24"/>
          <w:szCs w:val="24"/>
          <w:lang w:eastAsia="zh-CN" w:bidi="hi-IN"/>
        </w:rPr>
        <w:t>Перечень</w:t>
      </w:r>
      <w:r w:rsidR="00C7108C" w:rsidRPr="00C7108C">
        <w:rPr>
          <w:rFonts w:eastAsia="SimSun" w:cs="Mangal"/>
          <w:b/>
          <w:bCs/>
          <w:kern w:val="3"/>
          <w:sz w:val="24"/>
          <w:szCs w:val="24"/>
          <w:lang w:eastAsia="zh-CN" w:bidi="hi-IN"/>
        </w:rPr>
        <w:t xml:space="preserve"> услуг, оказываемых в рамках настоящего Договора</w:t>
      </w:r>
      <w:r>
        <w:rPr>
          <w:rFonts w:eastAsia="SimSun" w:cs="Mangal"/>
          <w:b/>
          <w:bCs/>
          <w:kern w:val="3"/>
          <w:sz w:val="24"/>
          <w:szCs w:val="24"/>
          <w:lang w:eastAsia="zh-CN" w:bidi="hi-IN"/>
        </w:rPr>
        <w:t>:</w:t>
      </w:r>
    </w:p>
    <w:p w14:paraId="303C11EF" w14:textId="77777777" w:rsidR="00197CB9" w:rsidRPr="00C7108C" w:rsidRDefault="00197CB9" w:rsidP="00197CB9">
      <w:pPr>
        <w:pStyle w:val="af5"/>
        <w:spacing w:line="240" w:lineRule="atLeast"/>
        <w:ind w:left="709"/>
        <w:jc w:val="both"/>
        <w:rPr>
          <w:b/>
          <w:bCs/>
          <w:sz w:val="24"/>
          <w:szCs w:val="24"/>
        </w:rPr>
      </w:pPr>
    </w:p>
    <w:tbl>
      <w:tblPr>
        <w:tblW w:w="9809" w:type="dxa"/>
        <w:tblLayout w:type="fixed"/>
        <w:tblCellMar>
          <w:left w:w="10" w:type="dxa"/>
          <w:right w:w="10" w:type="dxa"/>
        </w:tblCellMar>
        <w:tblLook w:val="04A0" w:firstRow="1" w:lastRow="0" w:firstColumn="1" w:lastColumn="0" w:noHBand="0" w:noVBand="1"/>
      </w:tblPr>
      <w:tblGrid>
        <w:gridCol w:w="561"/>
        <w:gridCol w:w="3436"/>
        <w:gridCol w:w="1560"/>
        <w:gridCol w:w="1275"/>
        <w:gridCol w:w="1701"/>
        <w:gridCol w:w="1276"/>
      </w:tblGrid>
      <w:tr w:rsidR="00197CB9" w:rsidRPr="00C7108C" w14:paraId="5318DFEB" w14:textId="77777777" w:rsidTr="00197CB9">
        <w:tblPrEx>
          <w:tblCellMar>
            <w:top w:w="0" w:type="dxa"/>
            <w:bottom w:w="0" w:type="dxa"/>
          </w:tblCellMar>
        </w:tblPrEx>
        <w:tc>
          <w:tcPr>
            <w:tcW w:w="561" w:type="dxa"/>
            <w:tcBorders>
              <w:top w:val="single" w:sz="2" w:space="0" w:color="000000"/>
              <w:left w:val="single" w:sz="2" w:space="0" w:color="000000"/>
              <w:bottom w:val="single" w:sz="2" w:space="0" w:color="000000"/>
            </w:tcBorders>
            <w:tcMar>
              <w:top w:w="28" w:type="dxa"/>
              <w:left w:w="28" w:type="dxa"/>
              <w:bottom w:w="28" w:type="dxa"/>
              <w:right w:w="28" w:type="dxa"/>
            </w:tcMar>
          </w:tcPr>
          <w:p w14:paraId="5E9B58B4" w14:textId="77777777" w:rsidR="00197CB9" w:rsidRPr="00C7108C" w:rsidRDefault="00197CB9" w:rsidP="00C7108C">
            <w:pPr>
              <w:suppressAutoHyphens/>
              <w:autoSpaceDN w:val="0"/>
              <w:spacing w:after="0" w:line="240" w:lineRule="auto"/>
              <w:ind w:hanging="1871"/>
              <w:textAlignment w:val="baseline"/>
              <w:rPr>
                <w:rFonts w:ascii="Times New Roman" w:eastAsia="Calibri" w:hAnsi="Times New Roman"/>
                <w:sz w:val="24"/>
                <w:szCs w:val="24"/>
                <w:lang w:eastAsia="en-US"/>
              </w:rPr>
            </w:pPr>
            <w:r w:rsidRPr="00C7108C">
              <w:rPr>
                <w:rFonts w:ascii="Times New Roman" w:eastAsia="Calibri" w:hAnsi="Times New Roman"/>
                <w:sz w:val="24"/>
                <w:szCs w:val="24"/>
                <w:lang w:eastAsia="en-US"/>
              </w:rPr>
              <w:t>№</w:t>
            </w:r>
            <w:r w:rsidRPr="00C7108C">
              <w:rPr>
                <w:rFonts w:ascii="Times New Roman" w:eastAsia="Calibri" w:hAnsi="Times New Roman"/>
                <w:sz w:val="24"/>
                <w:szCs w:val="24"/>
                <w:lang w:eastAsia="en-US"/>
              </w:rPr>
              <w:br/>
              <w:t>п/п</w:t>
            </w:r>
          </w:p>
        </w:tc>
        <w:tc>
          <w:tcPr>
            <w:tcW w:w="3436" w:type="dxa"/>
            <w:tcBorders>
              <w:top w:val="single" w:sz="2" w:space="0" w:color="000000"/>
              <w:left w:val="single" w:sz="2" w:space="0" w:color="000000"/>
              <w:bottom w:val="single" w:sz="2" w:space="0" w:color="000000"/>
            </w:tcBorders>
            <w:tcMar>
              <w:top w:w="28" w:type="dxa"/>
              <w:left w:w="28" w:type="dxa"/>
              <w:bottom w:w="28" w:type="dxa"/>
              <w:right w:w="28" w:type="dxa"/>
            </w:tcMar>
          </w:tcPr>
          <w:p w14:paraId="08A6E6A8" w14:textId="77777777" w:rsidR="00197CB9" w:rsidRPr="00C7108C" w:rsidRDefault="00197CB9" w:rsidP="00C7108C">
            <w:pPr>
              <w:suppressAutoHyphens/>
              <w:autoSpaceDN w:val="0"/>
              <w:spacing w:after="0" w:line="240" w:lineRule="auto"/>
              <w:jc w:val="center"/>
              <w:textAlignment w:val="baseline"/>
              <w:rPr>
                <w:rFonts w:ascii="Liberation Serif" w:eastAsia="SimSun" w:hAnsi="Liberation Serif" w:cs="Calibri"/>
                <w:kern w:val="3"/>
                <w:sz w:val="24"/>
                <w:szCs w:val="24"/>
                <w:lang w:val="en-US" w:eastAsia="en-US" w:bidi="hi-IN"/>
              </w:rPr>
            </w:pPr>
            <w:r w:rsidRPr="00C7108C">
              <w:rPr>
                <w:rFonts w:ascii="Times New Roman" w:eastAsia="Calibri" w:hAnsi="Times New Roman"/>
                <w:sz w:val="24"/>
                <w:szCs w:val="24"/>
                <w:lang w:eastAsia="en-US"/>
              </w:rPr>
              <w:t>Наименование экземпляра Системы</w:t>
            </w:r>
          </w:p>
        </w:tc>
        <w:tc>
          <w:tcPr>
            <w:tcW w:w="1560" w:type="dxa"/>
            <w:tcBorders>
              <w:top w:val="single" w:sz="2" w:space="0" w:color="000000"/>
              <w:left w:val="single" w:sz="2" w:space="0" w:color="000000"/>
              <w:bottom w:val="single" w:sz="2" w:space="0" w:color="000000"/>
              <w:right w:val="single" w:sz="2" w:space="0" w:color="000000"/>
            </w:tcBorders>
          </w:tcPr>
          <w:p w14:paraId="674B073B" w14:textId="58D24BB6" w:rsidR="00197CB9" w:rsidRDefault="00197CB9" w:rsidP="00C7108C">
            <w:pPr>
              <w:suppressAutoHyphens/>
              <w:autoSpaceDN w:val="0"/>
              <w:spacing w:after="0" w:line="240" w:lineRule="auto"/>
              <w:jc w:val="center"/>
              <w:textAlignment w:val="baseline"/>
              <w:rPr>
                <w:rFonts w:ascii="Times New Roman" w:eastAsia="SimSun" w:hAnsi="Times New Roman"/>
                <w:kern w:val="3"/>
                <w:sz w:val="24"/>
                <w:szCs w:val="24"/>
                <w:lang w:eastAsia="en-US" w:bidi="hi-IN"/>
              </w:rPr>
            </w:pPr>
            <w:r w:rsidRPr="006B5342">
              <w:rPr>
                <w:rFonts w:ascii="Times New Roman" w:eastAsia="Calibri" w:hAnsi="Times New Roman"/>
                <w:sz w:val="24"/>
                <w:szCs w:val="24"/>
                <w:lang w:eastAsia="en-US"/>
              </w:rPr>
              <w:t>Количество экземпляров</w:t>
            </w:r>
          </w:p>
        </w:tc>
        <w:tc>
          <w:tcPr>
            <w:tcW w:w="1275" w:type="dxa"/>
            <w:tcBorders>
              <w:top w:val="single" w:sz="2" w:space="0" w:color="000000"/>
              <w:left w:val="single" w:sz="2" w:space="0" w:color="000000"/>
              <w:bottom w:val="single" w:sz="2" w:space="0" w:color="000000"/>
            </w:tcBorders>
            <w:tcMar>
              <w:top w:w="28" w:type="dxa"/>
              <w:left w:w="28" w:type="dxa"/>
              <w:bottom w:w="28" w:type="dxa"/>
              <w:right w:w="28" w:type="dxa"/>
            </w:tcMar>
          </w:tcPr>
          <w:p w14:paraId="05EB78C7" w14:textId="0BA22AA7" w:rsidR="00197CB9" w:rsidRPr="00C7108C" w:rsidRDefault="00197CB9" w:rsidP="00C7108C">
            <w:pPr>
              <w:suppressAutoHyphens/>
              <w:autoSpaceDN w:val="0"/>
              <w:spacing w:after="0" w:line="240" w:lineRule="auto"/>
              <w:jc w:val="center"/>
              <w:textAlignment w:val="baseline"/>
              <w:rPr>
                <w:rFonts w:ascii="Times New Roman" w:eastAsia="SimSun" w:hAnsi="Times New Roman"/>
                <w:kern w:val="3"/>
                <w:sz w:val="24"/>
                <w:szCs w:val="24"/>
                <w:lang w:eastAsia="en-US" w:bidi="hi-IN"/>
              </w:rPr>
            </w:pPr>
            <w:r>
              <w:rPr>
                <w:rFonts w:ascii="Times New Roman" w:eastAsia="SimSun" w:hAnsi="Times New Roman"/>
                <w:kern w:val="3"/>
                <w:sz w:val="24"/>
                <w:szCs w:val="24"/>
                <w:lang w:eastAsia="en-US" w:bidi="hi-IN"/>
              </w:rPr>
              <w:t>Период оказания услуг, мес.</w:t>
            </w:r>
          </w:p>
        </w:tc>
        <w:tc>
          <w:tcPr>
            <w:tcW w:w="1701" w:type="dxa"/>
            <w:tcBorders>
              <w:top w:val="single" w:sz="2" w:space="0" w:color="000000"/>
              <w:left w:val="single" w:sz="2" w:space="0" w:color="000000"/>
              <w:bottom w:val="single" w:sz="2" w:space="0" w:color="000000"/>
            </w:tcBorders>
            <w:tcMar>
              <w:top w:w="28" w:type="dxa"/>
              <w:left w:w="28" w:type="dxa"/>
              <w:bottom w:w="28" w:type="dxa"/>
              <w:right w:w="28" w:type="dxa"/>
            </w:tcMar>
          </w:tcPr>
          <w:p w14:paraId="3585112F" w14:textId="75C9D7BB" w:rsidR="00197CB9" w:rsidRPr="00C7108C" w:rsidRDefault="00197CB9" w:rsidP="00C7108C">
            <w:pPr>
              <w:suppressAutoHyphens/>
              <w:autoSpaceDN w:val="0"/>
              <w:spacing w:after="0" w:line="240" w:lineRule="auto"/>
              <w:jc w:val="center"/>
              <w:textAlignment w:val="baseline"/>
              <w:rPr>
                <w:rFonts w:ascii="Times New Roman" w:eastAsia="SimSun" w:hAnsi="Times New Roman"/>
                <w:kern w:val="3"/>
                <w:sz w:val="24"/>
                <w:szCs w:val="24"/>
                <w:lang w:eastAsia="en-US" w:bidi="hi-IN"/>
              </w:rPr>
            </w:pPr>
            <w:r>
              <w:rPr>
                <w:rFonts w:ascii="Times New Roman" w:eastAsia="SimSun" w:hAnsi="Times New Roman"/>
                <w:kern w:val="3"/>
                <w:sz w:val="24"/>
                <w:szCs w:val="24"/>
                <w:lang w:eastAsia="en-US" w:bidi="hi-IN"/>
              </w:rPr>
              <w:t>Стоимость адаптации и сопровождения комплекта Системы за 1 мес., руб</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CF0F5F7" w14:textId="7755E218" w:rsidR="00197CB9" w:rsidRPr="00C7108C" w:rsidRDefault="00197CB9" w:rsidP="00C7108C">
            <w:pPr>
              <w:suppressAutoHyphens/>
              <w:autoSpaceDN w:val="0"/>
              <w:spacing w:after="0" w:line="240" w:lineRule="auto"/>
              <w:jc w:val="center"/>
              <w:textAlignment w:val="baseline"/>
              <w:rPr>
                <w:rFonts w:ascii="Times New Roman" w:eastAsia="SimSun" w:hAnsi="Times New Roman"/>
                <w:kern w:val="3"/>
                <w:sz w:val="24"/>
                <w:szCs w:val="24"/>
                <w:lang w:eastAsia="en-US" w:bidi="hi-IN"/>
              </w:rPr>
            </w:pPr>
            <w:r>
              <w:rPr>
                <w:rFonts w:ascii="Times New Roman" w:eastAsia="SimSun" w:hAnsi="Times New Roman"/>
                <w:kern w:val="3"/>
                <w:sz w:val="24"/>
                <w:szCs w:val="24"/>
                <w:lang w:eastAsia="en-US" w:bidi="hi-IN"/>
              </w:rPr>
              <w:t>Сумма договора, руб.</w:t>
            </w:r>
          </w:p>
        </w:tc>
      </w:tr>
      <w:tr w:rsidR="00197CB9" w:rsidRPr="00C7108C" w14:paraId="22B3377D" w14:textId="77777777" w:rsidTr="00197CB9">
        <w:tblPrEx>
          <w:tblCellMar>
            <w:top w:w="0" w:type="dxa"/>
            <w:bottom w:w="0" w:type="dxa"/>
          </w:tblCellMar>
        </w:tblPrEx>
        <w:tc>
          <w:tcPr>
            <w:tcW w:w="561" w:type="dxa"/>
            <w:tcBorders>
              <w:left w:val="single" w:sz="2" w:space="0" w:color="000000"/>
              <w:bottom w:val="single" w:sz="2" w:space="0" w:color="000000"/>
            </w:tcBorders>
            <w:tcMar>
              <w:top w:w="28" w:type="dxa"/>
              <w:left w:w="28" w:type="dxa"/>
              <w:bottom w:w="28" w:type="dxa"/>
              <w:right w:w="28" w:type="dxa"/>
            </w:tcMar>
          </w:tcPr>
          <w:p w14:paraId="7C531661" w14:textId="77777777" w:rsidR="00197CB9" w:rsidRPr="00C7108C" w:rsidRDefault="00197CB9" w:rsidP="00C7108C">
            <w:pPr>
              <w:suppressAutoHyphens/>
              <w:autoSpaceDN w:val="0"/>
              <w:spacing w:after="0" w:line="240" w:lineRule="auto"/>
              <w:textAlignment w:val="baseline"/>
              <w:rPr>
                <w:rFonts w:ascii="Times New Roman" w:eastAsia="Calibri" w:hAnsi="Times New Roman"/>
                <w:sz w:val="24"/>
                <w:szCs w:val="24"/>
                <w:lang w:eastAsia="en-US"/>
              </w:rPr>
            </w:pPr>
            <w:r w:rsidRPr="00C7108C">
              <w:rPr>
                <w:rFonts w:ascii="Times New Roman" w:eastAsia="Calibri" w:hAnsi="Times New Roman"/>
                <w:sz w:val="24"/>
                <w:szCs w:val="24"/>
                <w:lang w:eastAsia="en-US"/>
              </w:rPr>
              <w:t>1</w:t>
            </w:r>
          </w:p>
        </w:tc>
        <w:tc>
          <w:tcPr>
            <w:tcW w:w="3436" w:type="dxa"/>
            <w:tcBorders>
              <w:left w:val="single" w:sz="2" w:space="0" w:color="000000"/>
              <w:bottom w:val="single" w:sz="2" w:space="0" w:color="000000"/>
            </w:tcBorders>
            <w:tcMar>
              <w:top w:w="28" w:type="dxa"/>
              <w:left w:w="28" w:type="dxa"/>
              <w:bottom w:w="28" w:type="dxa"/>
              <w:right w:w="28" w:type="dxa"/>
            </w:tcMar>
          </w:tcPr>
          <w:p w14:paraId="1A8E898B" w14:textId="77777777" w:rsidR="00197CB9" w:rsidRPr="00C7108C" w:rsidRDefault="00197CB9" w:rsidP="00C7108C">
            <w:pPr>
              <w:widowControl w:val="0"/>
              <w:suppressAutoHyphens/>
              <w:autoSpaceDN w:val="0"/>
              <w:spacing w:after="0" w:line="240" w:lineRule="auto"/>
              <w:textAlignment w:val="baseline"/>
              <w:outlineLvl w:val="1"/>
              <w:rPr>
                <w:rFonts w:ascii="Times New Roman" w:eastAsia="Calibri" w:hAnsi="Times New Roman"/>
                <w:sz w:val="24"/>
                <w:szCs w:val="24"/>
                <w:lang w:eastAsia="en-US"/>
              </w:rPr>
            </w:pPr>
            <w:r w:rsidRPr="00C7108C">
              <w:rPr>
                <w:rFonts w:ascii="Times New Roman" w:eastAsia="Calibri" w:hAnsi="Times New Roman"/>
                <w:sz w:val="24"/>
                <w:szCs w:val="24"/>
                <w:lang w:eastAsia="en-US"/>
              </w:rPr>
              <w:t>СПС КонсультантЮрист смарт комплект Оптимальный</w:t>
            </w:r>
          </w:p>
        </w:tc>
        <w:tc>
          <w:tcPr>
            <w:tcW w:w="1560" w:type="dxa"/>
            <w:tcBorders>
              <w:left w:val="single" w:sz="2" w:space="0" w:color="000000"/>
              <w:bottom w:val="single" w:sz="2" w:space="0" w:color="000000"/>
              <w:right w:val="single" w:sz="2" w:space="0" w:color="000000"/>
            </w:tcBorders>
          </w:tcPr>
          <w:p w14:paraId="652C0EBE" w14:textId="7B23DBC7" w:rsidR="00197CB9" w:rsidRDefault="00E61AF6" w:rsidP="00C7108C">
            <w:pPr>
              <w:widowControl w:val="0"/>
              <w:suppressAutoHyphens/>
              <w:autoSpaceDN w:val="0"/>
              <w:spacing w:after="0" w:line="240" w:lineRule="auto"/>
              <w:jc w:val="center"/>
              <w:textAlignment w:val="baseline"/>
              <w:outlineLvl w:val="1"/>
              <w:rPr>
                <w:rFonts w:ascii="Times New Roman" w:eastAsia="Arial" w:hAnsi="Times New Roman"/>
                <w:sz w:val="24"/>
                <w:szCs w:val="24"/>
                <w:lang w:eastAsia="en-US"/>
              </w:rPr>
            </w:pPr>
            <w:r>
              <w:rPr>
                <w:rFonts w:ascii="Times New Roman" w:eastAsia="Arial" w:hAnsi="Times New Roman"/>
                <w:sz w:val="24"/>
                <w:szCs w:val="24"/>
                <w:lang w:eastAsia="en-US"/>
              </w:rPr>
              <w:t>1</w:t>
            </w:r>
          </w:p>
        </w:tc>
        <w:tc>
          <w:tcPr>
            <w:tcW w:w="1275" w:type="dxa"/>
            <w:tcBorders>
              <w:left w:val="single" w:sz="2" w:space="0" w:color="000000"/>
              <w:bottom w:val="single" w:sz="2" w:space="0" w:color="000000"/>
            </w:tcBorders>
            <w:tcMar>
              <w:top w:w="28" w:type="dxa"/>
              <w:left w:w="28" w:type="dxa"/>
              <w:bottom w:w="28" w:type="dxa"/>
              <w:right w:w="28" w:type="dxa"/>
            </w:tcMar>
          </w:tcPr>
          <w:p w14:paraId="693F482D" w14:textId="446155F9" w:rsidR="00197CB9" w:rsidRPr="00C7108C" w:rsidRDefault="00197CB9" w:rsidP="00C7108C">
            <w:pPr>
              <w:widowControl w:val="0"/>
              <w:suppressAutoHyphens/>
              <w:autoSpaceDN w:val="0"/>
              <w:spacing w:after="0" w:line="240" w:lineRule="auto"/>
              <w:jc w:val="center"/>
              <w:textAlignment w:val="baseline"/>
              <w:outlineLvl w:val="1"/>
              <w:rPr>
                <w:rFonts w:ascii="Times New Roman" w:eastAsia="Arial" w:hAnsi="Times New Roman"/>
                <w:sz w:val="24"/>
                <w:szCs w:val="24"/>
                <w:lang w:eastAsia="en-US"/>
              </w:rPr>
            </w:pPr>
            <w:r>
              <w:rPr>
                <w:rFonts w:ascii="Times New Roman" w:eastAsia="Arial" w:hAnsi="Times New Roman"/>
                <w:sz w:val="24"/>
                <w:szCs w:val="24"/>
                <w:lang w:eastAsia="en-US"/>
              </w:rPr>
              <w:t>12</w:t>
            </w:r>
          </w:p>
        </w:tc>
        <w:tc>
          <w:tcPr>
            <w:tcW w:w="1701" w:type="dxa"/>
            <w:tcBorders>
              <w:left w:val="single" w:sz="2" w:space="0" w:color="000000"/>
              <w:bottom w:val="single" w:sz="2" w:space="0" w:color="000000"/>
            </w:tcBorders>
            <w:tcMar>
              <w:top w:w="28" w:type="dxa"/>
              <w:left w:w="28" w:type="dxa"/>
              <w:bottom w:w="28" w:type="dxa"/>
              <w:right w:w="28" w:type="dxa"/>
            </w:tcMar>
          </w:tcPr>
          <w:p w14:paraId="3BC0C668" w14:textId="582F3221" w:rsidR="00197CB9" w:rsidRPr="00C7108C" w:rsidRDefault="00197CB9" w:rsidP="00C7108C">
            <w:pPr>
              <w:suppressAutoHyphens/>
              <w:autoSpaceDN w:val="0"/>
              <w:spacing w:after="0" w:line="240" w:lineRule="auto"/>
              <w:jc w:val="center"/>
              <w:textAlignment w:val="baseline"/>
              <w:rPr>
                <w:rFonts w:ascii="Times New Roman" w:eastAsia="Calibri" w:hAnsi="Times New Roman"/>
                <w:sz w:val="24"/>
                <w:szCs w:val="24"/>
                <w:lang w:eastAsia="en-US"/>
              </w:rPr>
            </w:pP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14:paraId="6D88585F" w14:textId="12DED538" w:rsidR="00197CB9" w:rsidRPr="00C7108C" w:rsidRDefault="00197CB9" w:rsidP="00C7108C">
            <w:pPr>
              <w:suppressAutoHyphens/>
              <w:autoSpaceDN w:val="0"/>
              <w:spacing w:after="0" w:line="240" w:lineRule="auto"/>
              <w:jc w:val="center"/>
              <w:textAlignment w:val="baseline"/>
              <w:rPr>
                <w:rFonts w:ascii="Times New Roman" w:eastAsia="Calibri" w:hAnsi="Times New Roman"/>
                <w:sz w:val="24"/>
                <w:szCs w:val="24"/>
                <w:lang w:val="en-US" w:eastAsia="en-US"/>
              </w:rPr>
            </w:pPr>
          </w:p>
        </w:tc>
      </w:tr>
    </w:tbl>
    <w:p w14:paraId="4EBE53F7" w14:textId="77777777" w:rsidR="00C7108C" w:rsidRPr="00C7108C" w:rsidRDefault="00C7108C" w:rsidP="00C7108C">
      <w:pPr>
        <w:pStyle w:val="af5"/>
        <w:spacing w:line="240" w:lineRule="atLeast"/>
        <w:ind w:left="709"/>
        <w:jc w:val="both"/>
        <w:rPr>
          <w:b/>
          <w:bCs/>
          <w:sz w:val="24"/>
          <w:szCs w:val="24"/>
        </w:rPr>
      </w:pPr>
    </w:p>
    <w:p w14:paraId="3EF024A0" w14:textId="2D53A20F" w:rsidR="0029130C" w:rsidRPr="0029130C" w:rsidRDefault="0029130C" w:rsidP="0029130C">
      <w:pPr>
        <w:pStyle w:val="af5"/>
        <w:numPr>
          <w:ilvl w:val="0"/>
          <w:numId w:val="9"/>
        </w:numPr>
        <w:spacing w:line="240" w:lineRule="atLeast"/>
        <w:ind w:left="0" w:firstLine="709"/>
        <w:jc w:val="both"/>
        <w:rPr>
          <w:sz w:val="24"/>
          <w:szCs w:val="24"/>
        </w:rPr>
      </w:pPr>
      <w:r w:rsidRPr="0029130C">
        <w:rPr>
          <w:b/>
          <w:bCs/>
          <w:sz w:val="24"/>
          <w:szCs w:val="24"/>
        </w:rPr>
        <w:t>Цель оказываемых услуг:</w:t>
      </w:r>
      <w:r>
        <w:rPr>
          <w:sz w:val="24"/>
          <w:szCs w:val="24"/>
        </w:rPr>
        <w:t xml:space="preserve"> </w:t>
      </w:r>
      <w:r w:rsidRPr="0029130C">
        <w:rPr>
          <w:sz w:val="24"/>
          <w:szCs w:val="24"/>
        </w:rPr>
        <w:t>Оказание Услуг осуществляется с целью информационной поддержки работников учреждения.</w:t>
      </w:r>
    </w:p>
    <w:p w14:paraId="7EFC4C4C" w14:textId="3007FADE" w:rsidR="0029130C" w:rsidRDefault="0029130C" w:rsidP="0029130C">
      <w:pPr>
        <w:spacing w:after="0" w:line="240" w:lineRule="atLeast"/>
        <w:ind w:firstLine="709"/>
        <w:jc w:val="both"/>
        <w:rPr>
          <w:rFonts w:ascii="Times New Roman" w:hAnsi="Times New Roman"/>
          <w:sz w:val="24"/>
          <w:szCs w:val="24"/>
        </w:rPr>
      </w:pPr>
    </w:p>
    <w:p w14:paraId="6C92B5F0" w14:textId="57BF37C4" w:rsidR="006B5342" w:rsidRPr="006B5342" w:rsidRDefault="006B5342" w:rsidP="006B5342">
      <w:pPr>
        <w:pStyle w:val="af5"/>
        <w:numPr>
          <w:ilvl w:val="0"/>
          <w:numId w:val="9"/>
        </w:numPr>
        <w:jc w:val="both"/>
        <w:rPr>
          <w:b/>
          <w:bCs/>
          <w:sz w:val="24"/>
          <w:szCs w:val="24"/>
        </w:rPr>
      </w:pPr>
      <w:r w:rsidRPr="006B5342">
        <w:rPr>
          <w:b/>
          <w:bCs/>
          <w:color w:val="000000"/>
          <w:sz w:val="24"/>
          <w:szCs w:val="24"/>
        </w:rPr>
        <w:t xml:space="preserve">Требования к </w:t>
      </w:r>
      <w:r w:rsidRPr="006B5342">
        <w:rPr>
          <w:rFonts w:eastAsia="Calibri"/>
          <w:b/>
          <w:bCs/>
          <w:color w:val="000000"/>
          <w:sz w:val="24"/>
          <w:szCs w:val="24"/>
          <w:lang w:eastAsia="en-US"/>
        </w:rPr>
        <w:t>экземпляру системы</w:t>
      </w:r>
      <w:r w:rsidRPr="006B5342">
        <w:rPr>
          <w:b/>
          <w:bCs/>
          <w:color w:val="000000"/>
          <w:sz w:val="24"/>
          <w:szCs w:val="24"/>
        </w:rPr>
        <w:t>:</w:t>
      </w:r>
    </w:p>
    <w:p w14:paraId="535AB1A5" w14:textId="4BE828AC" w:rsidR="006B5342" w:rsidRPr="006B5342" w:rsidRDefault="006B5342" w:rsidP="006B5342">
      <w:pPr>
        <w:spacing w:after="0" w:line="240" w:lineRule="auto"/>
        <w:ind w:firstLine="680"/>
        <w:jc w:val="both"/>
        <w:rPr>
          <w:rFonts w:ascii="Times New Roman" w:hAnsi="Times New Roman"/>
          <w:b/>
          <w:bCs/>
          <w:sz w:val="24"/>
          <w:szCs w:val="24"/>
        </w:rPr>
      </w:pPr>
      <w:r w:rsidRPr="006B5342">
        <w:rPr>
          <w:rFonts w:ascii="Times New Roman" w:hAnsi="Times New Roman"/>
          <w:bCs/>
          <w:color w:val="000000"/>
          <w:sz w:val="24"/>
          <w:szCs w:val="24"/>
        </w:rPr>
        <w:t xml:space="preserve">Исполнитель обязуется оказать </w:t>
      </w:r>
      <w:r w:rsidRPr="006B5342">
        <w:rPr>
          <w:rFonts w:ascii="Times New Roman" w:hAnsi="Times New Roman"/>
          <w:color w:val="000000"/>
          <w:sz w:val="24"/>
          <w:szCs w:val="24"/>
        </w:rPr>
        <w:t>информационные услуги по адаптации и сопровождению Экземпляра Системы, указанному в нижеприведенной таблице.</w:t>
      </w:r>
    </w:p>
    <w:p w14:paraId="595DF1B7" w14:textId="77777777" w:rsidR="006B5342" w:rsidRPr="006B5342" w:rsidRDefault="006B5342" w:rsidP="006B5342">
      <w:pPr>
        <w:spacing w:after="0" w:line="240" w:lineRule="auto"/>
        <w:ind w:firstLine="680"/>
        <w:jc w:val="both"/>
        <w:rPr>
          <w:rFonts w:ascii="Times New Roman" w:hAnsi="Times New Roman"/>
          <w:b/>
          <w:bCs/>
          <w:sz w:val="24"/>
          <w:szCs w:val="24"/>
        </w:rPr>
      </w:pPr>
    </w:p>
    <w:tbl>
      <w:tblPr>
        <w:tblW w:w="9700" w:type="dxa"/>
        <w:tblInd w:w="28" w:type="dxa"/>
        <w:tblCellMar>
          <w:top w:w="28" w:type="dxa"/>
          <w:left w:w="28" w:type="dxa"/>
          <w:bottom w:w="28" w:type="dxa"/>
          <w:right w:w="28" w:type="dxa"/>
        </w:tblCellMar>
        <w:tblLook w:val="04A0" w:firstRow="1" w:lastRow="0" w:firstColumn="1" w:lastColumn="0" w:noHBand="0" w:noVBand="1"/>
      </w:tblPr>
      <w:tblGrid>
        <w:gridCol w:w="2612"/>
        <w:gridCol w:w="1467"/>
        <w:gridCol w:w="1989"/>
        <w:gridCol w:w="3632"/>
      </w:tblGrid>
      <w:tr w:rsidR="006B5342" w:rsidRPr="006B5342" w14:paraId="048EFF18" w14:textId="77777777" w:rsidTr="0080744E">
        <w:tc>
          <w:tcPr>
            <w:tcW w:w="2612" w:type="dxa"/>
            <w:tcBorders>
              <w:top w:val="single" w:sz="2" w:space="0" w:color="000000"/>
              <w:left w:val="single" w:sz="2" w:space="0" w:color="000000"/>
              <w:bottom w:val="single" w:sz="2" w:space="0" w:color="000000"/>
            </w:tcBorders>
          </w:tcPr>
          <w:p w14:paraId="040ECD1B" w14:textId="77777777" w:rsidR="006B5342" w:rsidRPr="006B5342" w:rsidRDefault="006B5342" w:rsidP="006B5342">
            <w:pPr>
              <w:suppressLineNumbers/>
              <w:spacing w:after="160" w:line="259" w:lineRule="auto"/>
              <w:jc w:val="center"/>
              <w:rPr>
                <w:rFonts w:ascii="Times New Roman" w:eastAsia="Calibri" w:hAnsi="Times New Roman"/>
                <w:sz w:val="24"/>
                <w:szCs w:val="24"/>
                <w:lang w:eastAsia="en-US"/>
              </w:rPr>
            </w:pPr>
            <w:r w:rsidRPr="006B5342">
              <w:rPr>
                <w:rFonts w:ascii="Times New Roman" w:eastAsia="Calibri" w:hAnsi="Times New Roman"/>
                <w:sz w:val="24"/>
                <w:szCs w:val="24"/>
                <w:lang w:eastAsia="en-US"/>
              </w:rPr>
              <w:t>Наименование экземпляра системы</w:t>
            </w:r>
          </w:p>
        </w:tc>
        <w:tc>
          <w:tcPr>
            <w:tcW w:w="1467" w:type="dxa"/>
            <w:tcBorders>
              <w:top w:val="single" w:sz="2" w:space="0" w:color="000000"/>
              <w:left w:val="single" w:sz="2" w:space="0" w:color="000000"/>
              <w:bottom w:val="single" w:sz="2" w:space="0" w:color="000000"/>
            </w:tcBorders>
          </w:tcPr>
          <w:p w14:paraId="46DF2D32" w14:textId="77777777" w:rsidR="006B5342" w:rsidRPr="006B5342" w:rsidRDefault="006B5342" w:rsidP="006B5342">
            <w:pPr>
              <w:suppressLineNumbers/>
              <w:spacing w:after="160" w:line="259" w:lineRule="auto"/>
              <w:jc w:val="center"/>
              <w:rPr>
                <w:rFonts w:ascii="Times New Roman" w:eastAsia="Calibri" w:hAnsi="Times New Roman"/>
                <w:sz w:val="24"/>
                <w:szCs w:val="24"/>
                <w:lang w:eastAsia="en-US"/>
              </w:rPr>
            </w:pPr>
            <w:r w:rsidRPr="006B5342">
              <w:rPr>
                <w:rFonts w:ascii="Times New Roman" w:eastAsia="Calibri" w:hAnsi="Times New Roman"/>
                <w:sz w:val="24"/>
                <w:szCs w:val="24"/>
                <w:lang w:eastAsia="en-US"/>
              </w:rPr>
              <w:t>Количество экземпляров</w:t>
            </w:r>
          </w:p>
        </w:tc>
        <w:tc>
          <w:tcPr>
            <w:tcW w:w="1989" w:type="dxa"/>
            <w:tcBorders>
              <w:top w:val="single" w:sz="2" w:space="0" w:color="000000"/>
              <w:left w:val="single" w:sz="2" w:space="0" w:color="000000"/>
              <w:bottom w:val="single" w:sz="2" w:space="0" w:color="000000"/>
            </w:tcBorders>
          </w:tcPr>
          <w:p w14:paraId="7AD5AD54" w14:textId="77777777" w:rsidR="006B5342" w:rsidRPr="006B5342" w:rsidRDefault="006B5342" w:rsidP="006B5342">
            <w:pPr>
              <w:suppressLineNumbers/>
              <w:spacing w:after="160" w:line="259" w:lineRule="auto"/>
              <w:jc w:val="center"/>
              <w:rPr>
                <w:rFonts w:ascii="Times New Roman" w:eastAsia="Calibri" w:hAnsi="Times New Roman"/>
                <w:sz w:val="24"/>
                <w:szCs w:val="24"/>
                <w:lang w:eastAsia="en-US"/>
              </w:rPr>
            </w:pPr>
            <w:r w:rsidRPr="006B5342">
              <w:rPr>
                <w:rFonts w:ascii="Times New Roman" w:eastAsia="Calibri" w:hAnsi="Times New Roman"/>
                <w:sz w:val="24"/>
                <w:szCs w:val="24"/>
                <w:lang w:eastAsia="en-US"/>
              </w:rPr>
              <w:t>Версия системы</w:t>
            </w:r>
          </w:p>
        </w:tc>
        <w:tc>
          <w:tcPr>
            <w:tcW w:w="3632" w:type="dxa"/>
            <w:tcBorders>
              <w:top w:val="single" w:sz="2" w:space="0" w:color="000000"/>
              <w:left w:val="single" w:sz="2" w:space="0" w:color="000000"/>
              <w:bottom w:val="single" w:sz="2" w:space="0" w:color="000000"/>
              <w:right w:val="single" w:sz="2" w:space="0" w:color="000000"/>
            </w:tcBorders>
          </w:tcPr>
          <w:p w14:paraId="72676B5F" w14:textId="77777777" w:rsidR="006B5342" w:rsidRPr="006B5342" w:rsidRDefault="006B5342" w:rsidP="006B5342">
            <w:pPr>
              <w:suppressLineNumbers/>
              <w:spacing w:after="160" w:line="259" w:lineRule="auto"/>
              <w:jc w:val="center"/>
              <w:rPr>
                <w:rFonts w:ascii="Times New Roman" w:eastAsia="Calibri" w:hAnsi="Times New Roman"/>
                <w:sz w:val="24"/>
                <w:szCs w:val="24"/>
                <w:lang w:eastAsia="en-US"/>
              </w:rPr>
            </w:pPr>
            <w:r w:rsidRPr="006B5342">
              <w:rPr>
                <w:rFonts w:ascii="Times New Roman" w:eastAsia="Calibri" w:hAnsi="Times New Roman"/>
                <w:sz w:val="24"/>
                <w:szCs w:val="24"/>
                <w:lang w:eastAsia="en-US"/>
              </w:rPr>
              <w:t>Состав и описание системы</w:t>
            </w:r>
          </w:p>
        </w:tc>
      </w:tr>
      <w:tr w:rsidR="006B5342" w:rsidRPr="006B5342" w14:paraId="7BD6EF9D" w14:textId="77777777" w:rsidTr="0080744E">
        <w:tc>
          <w:tcPr>
            <w:tcW w:w="2612" w:type="dxa"/>
            <w:tcBorders>
              <w:left w:val="single" w:sz="2" w:space="0" w:color="000000"/>
              <w:bottom w:val="single" w:sz="2" w:space="0" w:color="000000"/>
            </w:tcBorders>
          </w:tcPr>
          <w:p w14:paraId="7CDCFEA0" w14:textId="77777777" w:rsidR="006B5342" w:rsidRPr="006B5342" w:rsidRDefault="006B5342" w:rsidP="006B5342">
            <w:pPr>
              <w:widowControl w:val="0"/>
              <w:suppressAutoHyphens/>
              <w:spacing w:after="0" w:line="240" w:lineRule="auto"/>
              <w:ind w:right="113"/>
              <w:jc w:val="both"/>
              <w:outlineLvl w:val="1"/>
              <w:rPr>
                <w:rFonts w:ascii="Times New Roman" w:eastAsia="Arial" w:hAnsi="Times New Roman"/>
                <w:sz w:val="24"/>
                <w:szCs w:val="24"/>
                <w:lang w:eastAsia="en-US"/>
              </w:rPr>
            </w:pPr>
            <w:r w:rsidRPr="006B5342">
              <w:rPr>
                <w:rFonts w:ascii="Times New Roman" w:eastAsia="Arial" w:hAnsi="Times New Roman"/>
                <w:sz w:val="24"/>
                <w:szCs w:val="24"/>
                <w:lang w:eastAsia="en-US"/>
              </w:rPr>
              <w:t>СПС КонсультантЮрист смарт комплект Оптимальный</w:t>
            </w:r>
          </w:p>
        </w:tc>
        <w:tc>
          <w:tcPr>
            <w:tcW w:w="1467" w:type="dxa"/>
            <w:tcBorders>
              <w:left w:val="single" w:sz="2" w:space="0" w:color="000000"/>
              <w:bottom w:val="single" w:sz="2" w:space="0" w:color="000000"/>
            </w:tcBorders>
          </w:tcPr>
          <w:p w14:paraId="45214832" w14:textId="77777777" w:rsidR="006B5342" w:rsidRPr="006B5342" w:rsidRDefault="006B5342" w:rsidP="006B5342">
            <w:pPr>
              <w:suppressLineNumbers/>
              <w:spacing w:after="160" w:line="259" w:lineRule="auto"/>
              <w:jc w:val="center"/>
              <w:rPr>
                <w:rFonts w:ascii="Times New Roman" w:eastAsia="Calibri" w:hAnsi="Times New Roman"/>
                <w:sz w:val="24"/>
                <w:szCs w:val="24"/>
                <w:lang w:eastAsia="en-US"/>
              </w:rPr>
            </w:pPr>
            <w:r w:rsidRPr="006B5342">
              <w:rPr>
                <w:rFonts w:ascii="Times New Roman" w:eastAsia="Calibri" w:hAnsi="Times New Roman"/>
                <w:sz w:val="24"/>
                <w:szCs w:val="24"/>
                <w:lang w:eastAsia="en-US"/>
              </w:rPr>
              <w:t>1</w:t>
            </w:r>
          </w:p>
        </w:tc>
        <w:tc>
          <w:tcPr>
            <w:tcW w:w="1989" w:type="dxa"/>
            <w:tcBorders>
              <w:left w:val="single" w:sz="2" w:space="0" w:color="000000"/>
              <w:bottom w:val="single" w:sz="2" w:space="0" w:color="000000"/>
            </w:tcBorders>
          </w:tcPr>
          <w:p w14:paraId="28DB7A9C" w14:textId="77777777" w:rsidR="006B5342" w:rsidRPr="006B5342" w:rsidRDefault="006B5342" w:rsidP="006B5342">
            <w:pPr>
              <w:suppressLineNumbers/>
              <w:spacing w:after="160" w:line="259" w:lineRule="auto"/>
              <w:jc w:val="center"/>
              <w:rPr>
                <w:rFonts w:ascii="Times New Roman" w:eastAsia="Calibri" w:hAnsi="Times New Roman"/>
                <w:sz w:val="24"/>
                <w:szCs w:val="24"/>
                <w:lang w:eastAsia="en-US"/>
              </w:rPr>
            </w:pPr>
            <w:r w:rsidRPr="006B5342">
              <w:rPr>
                <w:rFonts w:ascii="Times New Roman" w:eastAsia="Calibri" w:hAnsi="Times New Roman"/>
                <w:sz w:val="24"/>
                <w:szCs w:val="24"/>
                <w:lang w:eastAsia="en-US"/>
              </w:rPr>
              <w:t>Онлайн-версия</w:t>
            </w:r>
          </w:p>
        </w:tc>
        <w:tc>
          <w:tcPr>
            <w:tcW w:w="3632" w:type="dxa"/>
            <w:tcBorders>
              <w:left w:val="single" w:sz="2" w:space="0" w:color="000000"/>
              <w:bottom w:val="single" w:sz="2" w:space="0" w:color="000000"/>
              <w:right w:val="single" w:sz="2" w:space="0" w:color="000000"/>
            </w:tcBorders>
          </w:tcPr>
          <w:p w14:paraId="06FB815A"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Российское законодательство (расширенная версия)</w:t>
            </w:r>
          </w:p>
          <w:p w14:paraId="799E0287"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Решения госорганов по спорным ситуациям</w:t>
            </w:r>
          </w:p>
          <w:p w14:paraId="3DD3F505"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Налоговый региональный выпуск</w:t>
            </w:r>
          </w:p>
          <w:p w14:paraId="076BA3F3"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Правовые позиции высших судов</w:t>
            </w:r>
          </w:p>
          <w:p w14:paraId="477D60AB"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Решения высших судов</w:t>
            </w:r>
          </w:p>
          <w:p w14:paraId="2FF24D39"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Суд по интеллектуальным правам</w:t>
            </w:r>
          </w:p>
          <w:p w14:paraId="7D895A05"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Арбитражный суд округа</w:t>
            </w:r>
          </w:p>
          <w:p w14:paraId="194F7B9D"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Арбитражные суды первой инстанции округа</w:t>
            </w:r>
          </w:p>
          <w:p w14:paraId="1945EB03"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Апелляционный суд региона,</w:t>
            </w:r>
          </w:p>
          <w:p w14:paraId="2A5595AD"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Кассационный суд общей юрисдикции</w:t>
            </w:r>
          </w:p>
          <w:p w14:paraId="305BE18B"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Областные и районные суды общей юрисдикции одного кассационного округа</w:t>
            </w:r>
          </w:p>
          <w:p w14:paraId="4FE86737"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Разъясняющие письма органов власти</w:t>
            </w:r>
          </w:p>
          <w:p w14:paraId="21CC7B07"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Путеводитель по договорной работе</w:t>
            </w:r>
          </w:p>
          <w:p w14:paraId="3C989169"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Путеводитель по судебной практике (ГК РФ)</w:t>
            </w:r>
          </w:p>
          <w:p w14:paraId="440F4921"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lastRenderedPageBreak/>
              <w:t>Путеводитель по корпоративным процедурам</w:t>
            </w:r>
          </w:p>
          <w:p w14:paraId="1975449E"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Путеводитель по корпоративным спорам</w:t>
            </w:r>
          </w:p>
          <w:p w14:paraId="42D61BC5"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Путеводитель по трудовым спорам</w:t>
            </w:r>
          </w:p>
          <w:p w14:paraId="2AF41B27"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Путеводитель по госуслугам для юридических лиц</w:t>
            </w:r>
          </w:p>
          <w:p w14:paraId="71C25EB0"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Путеводитель по контрактной системе в сфере закупок</w:t>
            </w:r>
          </w:p>
          <w:p w14:paraId="48B776A1"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Путеводитель по спорам в сфере закупок</w:t>
            </w:r>
          </w:p>
          <w:p w14:paraId="414EDF85"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Постатейные комментарии и книги</w:t>
            </w:r>
          </w:p>
          <w:p w14:paraId="09E1D3C7"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Юридическая пресса,</w:t>
            </w:r>
          </w:p>
          <w:p w14:paraId="37862055"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Деловые бумаги (базовая версия)</w:t>
            </w:r>
          </w:p>
          <w:p w14:paraId="2F9328B5"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Законопроекты (базовая версия)</w:t>
            </w:r>
          </w:p>
          <w:p w14:paraId="3B8D7AB3"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Проекты нормативных правовых актов (базовая версия)</w:t>
            </w:r>
          </w:p>
          <w:p w14:paraId="3DA901CA"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Конструктор договоров</w:t>
            </w:r>
          </w:p>
          <w:p w14:paraId="17B67748"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Архив решений ФАС и УФАС</w:t>
            </w:r>
          </w:p>
          <w:p w14:paraId="4E0AB0EA"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Архив решений арбитражных судов первой инстанции</w:t>
            </w:r>
          </w:p>
          <w:p w14:paraId="0B31DDD9"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Архив определений арбитражных судов</w:t>
            </w:r>
          </w:p>
          <w:p w14:paraId="13188355"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Архив решений судов общей юрисдикции</w:t>
            </w:r>
          </w:p>
          <w:p w14:paraId="2E7321E1" w14:textId="77777777" w:rsidR="006B5342" w:rsidRPr="006B5342" w:rsidRDefault="006B5342" w:rsidP="006B5342">
            <w:pPr>
              <w:spacing w:after="0" w:line="240" w:lineRule="auto"/>
              <w:rPr>
                <w:rFonts w:ascii="Times New Roman" w:hAnsi="Times New Roman"/>
                <w:color w:val="201F1E"/>
                <w:sz w:val="24"/>
                <w:szCs w:val="24"/>
              </w:rPr>
            </w:pPr>
            <w:r w:rsidRPr="006B5342">
              <w:rPr>
                <w:rFonts w:ascii="Times New Roman" w:hAnsi="Times New Roman"/>
                <w:color w:val="201F1E"/>
                <w:sz w:val="24"/>
                <w:szCs w:val="24"/>
              </w:rPr>
              <w:t>Архив решений мировых судей</w:t>
            </w:r>
          </w:p>
          <w:p w14:paraId="11E791F4" w14:textId="77777777" w:rsidR="006B5342" w:rsidRPr="006B5342" w:rsidRDefault="006B5342" w:rsidP="006B5342">
            <w:pPr>
              <w:suppressLineNumbers/>
              <w:spacing w:after="160" w:line="259" w:lineRule="auto"/>
              <w:rPr>
                <w:rFonts w:ascii="Times New Roman" w:eastAsia="Calibri" w:hAnsi="Times New Roman"/>
                <w:sz w:val="24"/>
                <w:szCs w:val="24"/>
                <w:lang w:eastAsia="en-US"/>
              </w:rPr>
            </w:pPr>
          </w:p>
        </w:tc>
      </w:tr>
    </w:tbl>
    <w:p w14:paraId="7FB36027" w14:textId="77777777" w:rsidR="006B5342" w:rsidRPr="006B5342" w:rsidRDefault="006B5342" w:rsidP="006B5342">
      <w:pPr>
        <w:spacing w:after="0" w:line="240" w:lineRule="auto"/>
        <w:ind w:firstLine="680"/>
        <w:jc w:val="both"/>
        <w:rPr>
          <w:rFonts w:ascii="Times New Roman" w:hAnsi="Times New Roman"/>
          <w:b/>
          <w:bCs/>
          <w:color w:val="000000"/>
          <w:sz w:val="24"/>
          <w:szCs w:val="24"/>
        </w:rPr>
      </w:pPr>
    </w:p>
    <w:p w14:paraId="1F7CBDC4" w14:textId="77777777" w:rsidR="006B5342" w:rsidRPr="006B5342" w:rsidRDefault="006B5342" w:rsidP="006B5342">
      <w:pPr>
        <w:spacing w:after="0" w:line="240" w:lineRule="auto"/>
        <w:ind w:firstLine="680"/>
        <w:jc w:val="both"/>
        <w:rPr>
          <w:rFonts w:ascii="Times New Roman" w:hAnsi="Times New Roman"/>
          <w:b/>
          <w:bCs/>
          <w:color w:val="000000"/>
          <w:sz w:val="24"/>
          <w:szCs w:val="24"/>
        </w:rPr>
      </w:pPr>
    </w:p>
    <w:p w14:paraId="0F88DCF3" w14:textId="79910DCF" w:rsidR="006B5342" w:rsidRPr="006B5342" w:rsidRDefault="006B5342" w:rsidP="006B5342">
      <w:pPr>
        <w:pStyle w:val="af5"/>
        <w:numPr>
          <w:ilvl w:val="0"/>
          <w:numId w:val="9"/>
        </w:numPr>
        <w:jc w:val="both"/>
        <w:rPr>
          <w:b/>
          <w:bCs/>
          <w:sz w:val="24"/>
          <w:szCs w:val="24"/>
        </w:rPr>
      </w:pPr>
      <w:r w:rsidRPr="006B5342">
        <w:rPr>
          <w:b/>
          <w:bCs/>
          <w:color w:val="000000"/>
          <w:sz w:val="24"/>
          <w:szCs w:val="24"/>
        </w:rPr>
        <w:t>Требования к составу Услуг:</w:t>
      </w:r>
    </w:p>
    <w:p w14:paraId="10911A77"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Оказание информационных услуг с использованием Экземпляров Системы (услуг по адаптации и сопровождению Экземпляров систем) должно предусматривать:</w:t>
      </w:r>
    </w:p>
    <w:p w14:paraId="29B105F2"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1) адаптацию (установку, тестирование, регистрацию) Экземпляра Системы на компьютерном оборудовании Заказчика;</w:t>
      </w:r>
    </w:p>
    <w:p w14:paraId="073DF008"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2) передачу Заказчику актуальной информации (актуальных наборов текстовой информации, адаптированных к установленному у Заказчика Экземпляру Системы) ежедневно с использованием средств телекоммуникации, либо еженедельно представителем Исполнителя по месту нахождения Заказчика;</w:t>
      </w:r>
    </w:p>
    <w:p w14:paraId="6E2E1196"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3) техническую профилактику работоспособности Экземпляра Системы и восстановление работоспособности Экземпляра Системы в случае сбоев компьютерного оборудования после их устранения Заказчиком (тестирование, переустановка);</w:t>
      </w:r>
    </w:p>
    <w:p w14:paraId="7865878C"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4) консультирование по работе с Экземпляром Системы, в т.ч. обучение Заказчика работе с Экземпляром Системы по методикам Сети КонсультантПлюс;</w:t>
      </w:r>
    </w:p>
    <w:p w14:paraId="6A0E00F7"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5) предоставление возможности получения Заказчиком консультаций по телефону и в офисе Заказчика и/или Исполнителя по работе Экземпляра Системы;</w:t>
      </w:r>
    </w:p>
    <w:p w14:paraId="3647EE5B"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6) предоставление информационных материалов в соответствии с внутренним регламентом Исполнителя;</w:t>
      </w:r>
    </w:p>
    <w:p w14:paraId="008FDEBF"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lastRenderedPageBreak/>
        <w:tab/>
        <w:t>7) осуществление технической профилактики работоспособности Экземпляра Системы и восстановление работоспособности Экземпляра Системы в случае сбоев компьютерного оборудования (тестирование, переустановка);</w:t>
      </w:r>
    </w:p>
    <w:p w14:paraId="2A60F604"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8) поиск документов, не вошедших в Экземпляр Системы, установленный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14:paraId="64CACCDF"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9) установку технологических модулей при внесении усовершенствования в Систему;</w:t>
      </w:r>
    </w:p>
    <w:p w14:paraId="53226F0C"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10) оперативную переустановку Системы при смене оборудования у Заказчика;</w:t>
      </w:r>
    </w:p>
    <w:p w14:paraId="6B0B1465" w14:textId="77777777" w:rsidR="006B5342" w:rsidRPr="006B5342" w:rsidRDefault="006B5342" w:rsidP="006B5342">
      <w:pPr>
        <w:spacing w:after="0" w:line="240" w:lineRule="auto"/>
        <w:jc w:val="both"/>
        <w:rPr>
          <w:rFonts w:ascii="Times New Roman" w:hAnsi="Times New Roman"/>
          <w:b/>
          <w:bCs/>
          <w:sz w:val="24"/>
          <w:szCs w:val="24"/>
        </w:rPr>
      </w:pPr>
      <w:r w:rsidRPr="006B5342">
        <w:rPr>
          <w:rFonts w:ascii="Times New Roman" w:hAnsi="Times New Roman"/>
          <w:color w:val="000000"/>
          <w:sz w:val="24"/>
          <w:szCs w:val="24"/>
        </w:rPr>
        <w:tab/>
        <w:t>11) предоставление иных услуг по адаптации и сопровождению Экземпляра Системы.</w:t>
      </w:r>
    </w:p>
    <w:p w14:paraId="0EAEF1D6" w14:textId="6880670C" w:rsidR="0029130C" w:rsidRDefault="0029130C">
      <w:pPr>
        <w:spacing w:after="0" w:line="240" w:lineRule="atLeast"/>
        <w:ind w:firstLine="709"/>
        <w:jc w:val="both"/>
        <w:rPr>
          <w:rFonts w:ascii="Times New Roman" w:hAnsi="Times New Roman"/>
          <w:sz w:val="24"/>
          <w:szCs w:val="24"/>
        </w:rPr>
      </w:pPr>
    </w:p>
    <w:p w14:paraId="191EA067" w14:textId="77048A86" w:rsidR="00920306" w:rsidRPr="00920306" w:rsidRDefault="00197CB9" w:rsidP="00197CB9">
      <w:pPr>
        <w:spacing w:after="0" w:line="240" w:lineRule="auto"/>
        <w:ind w:firstLine="709"/>
        <w:jc w:val="both"/>
        <w:rPr>
          <w:rFonts w:ascii="Times New Roman" w:hAnsi="Times New Roman"/>
          <w:bCs/>
          <w:sz w:val="24"/>
          <w:szCs w:val="24"/>
        </w:rPr>
      </w:pPr>
      <w:r>
        <w:rPr>
          <w:rFonts w:ascii="Times New Roman" w:hAnsi="Times New Roman"/>
          <w:b/>
          <w:sz w:val="24"/>
          <w:szCs w:val="24"/>
        </w:rPr>
        <w:t>5. Т</w:t>
      </w:r>
      <w:r w:rsidR="00920306" w:rsidRPr="00920306">
        <w:rPr>
          <w:rFonts w:ascii="Times New Roman" w:hAnsi="Times New Roman"/>
          <w:b/>
          <w:sz w:val="24"/>
          <w:szCs w:val="24"/>
        </w:rPr>
        <w:t xml:space="preserve">ребования к результатам: </w:t>
      </w:r>
      <w:r w:rsidR="00920306" w:rsidRPr="00920306">
        <w:rPr>
          <w:rFonts w:ascii="Times New Roman" w:hAnsi="Times New Roman"/>
          <w:bCs/>
          <w:sz w:val="24"/>
          <w:szCs w:val="24"/>
        </w:rPr>
        <w:t>По завершении оказания Услуг Исполнитель в срок до 5 числа, месяца следующего за отчетным представляет Заказчику подписанный со своей стороны акт оказанных услуг в двух экземплярах. Отчетным периодом является календарный месяц.</w:t>
      </w:r>
    </w:p>
    <w:p w14:paraId="46FC3D93" w14:textId="77777777" w:rsidR="00920306" w:rsidRPr="00920306" w:rsidRDefault="00920306" w:rsidP="00197CB9">
      <w:pPr>
        <w:spacing w:after="0" w:line="240" w:lineRule="auto"/>
        <w:ind w:firstLine="709"/>
        <w:jc w:val="both"/>
        <w:rPr>
          <w:rFonts w:ascii="Times New Roman" w:hAnsi="Times New Roman"/>
          <w:bCs/>
          <w:sz w:val="24"/>
          <w:szCs w:val="24"/>
        </w:rPr>
      </w:pPr>
      <w:r w:rsidRPr="00920306">
        <w:rPr>
          <w:rFonts w:ascii="Times New Roman" w:hAnsi="Times New Roman"/>
          <w:bCs/>
          <w:sz w:val="24"/>
          <w:szCs w:val="24"/>
        </w:rPr>
        <w:t>В случае выявления в ходе осуществления приема услуг несоответствия услуг условиям договора, представителями Исполнителя и Заказчика составляется акт с перечнем недостатков и сроками их устранения за счет Исполнителя.</w:t>
      </w:r>
    </w:p>
    <w:p w14:paraId="4798A56C" w14:textId="3D3A325F" w:rsidR="006A6091" w:rsidRDefault="006A6091" w:rsidP="006A6091">
      <w:pPr>
        <w:spacing w:after="0" w:line="240" w:lineRule="atLeast"/>
        <w:jc w:val="both"/>
        <w:rPr>
          <w:rFonts w:ascii="Times New Roman" w:hAnsi="Times New Roman"/>
          <w:sz w:val="24"/>
          <w:szCs w:val="24"/>
        </w:rPr>
      </w:pPr>
    </w:p>
    <w:p w14:paraId="7CAB2E71" w14:textId="4E218D47" w:rsidR="00293818" w:rsidRDefault="00293818" w:rsidP="006A6091">
      <w:pPr>
        <w:spacing w:after="0" w:line="240" w:lineRule="atLeast"/>
        <w:jc w:val="both"/>
        <w:rPr>
          <w:rFonts w:ascii="Times New Roman" w:hAnsi="Times New Roman"/>
          <w:sz w:val="24"/>
          <w:szCs w:val="24"/>
        </w:rPr>
      </w:pPr>
    </w:p>
    <w:p w14:paraId="7835A9BE" w14:textId="77777777" w:rsidR="00293818" w:rsidRDefault="00293818" w:rsidP="006A6091">
      <w:pPr>
        <w:spacing w:after="0" w:line="240" w:lineRule="atLeast"/>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9"/>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7"/>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7"/>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7"/>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7"/>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7"/>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7"/>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7"/>
        <w:spacing w:after="0" w:line="240" w:lineRule="atLeast"/>
        <w:ind w:left="4236" w:firstLine="709"/>
        <w:jc w:val="right"/>
        <w:rPr>
          <w:rFonts w:ascii="Times New Roman" w:eastAsia="Calibri" w:hAnsi="Times New Roman"/>
          <w:sz w:val="24"/>
          <w:szCs w:val="24"/>
        </w:rPr>
      </w:pPr>
    </w:p>
    <w:sectPr w:rsidR="00A13003"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A378" w14:textId="77777777" w:rsidR="003D6F6A" w:rsidRDefault="003D6F6A">
      <w:pPr>
        <w:spacing w:after="0" w:line="240" w:lineRule="auto"/>
      </w:pPr>
      <w:r>
        <w:separator/>
      </w:r>
    </w:p>
  </w:endnote>
  <w:endnote w:type="continuationSeparator" w:id="0">
    <w:p w14:paraId="271579E6" w14:textId="77777777" w:rsidR="003D6F6A" w:rsidRDefault="003D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7E5E" w14:textId="77777777" w:rsidR="003D6F6A" w:rsidRDefault="003D6F6A">
      <w:pPr>
        <w:spacing w:after="0" w:line="240" w:lineRule="auto"/>
      </w:pPr>
      <w:r>
        <w:separator/>
      </w:r>
    </w:p>
  </w:footnote>
  <w:footnote w:type="continuationSeparator" w:id="0">
    <w:p w14:paraId="3A70B78E" w14:textId="77777777" w:rsidR="003D6F6A" w:rsidRDefault="003D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A1"/>
    <w:multiLevelType w:val="hybridMultilevel"/>
    <w:tmpl w:val="F41C7E06"/>
    <w:lvl w:ilvl="0" w:tplc="A1A4A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216DB2"/>
    <w:multiLevelType w:val="multilevel"/>
    <w:tmpl w:val="05E685A8"/>
    <w:styleLink w:val="WWNum4"/>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95C172D"/>
    <w:multiLevelType w:val="hybridMultilevel"/>
    <w:tmpl w:val="1D7C8EE0"/>
    <w:lvl w:ilvl="0" w:tplc="88242F3A">
      <w:start w:val="3"/>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C9671B"/>
    <w:multiLevelType w:val="hybridMultilevel"/>
    <w:tmpl w:val="7764A76A"/>
    <w:lvl w:ilvl="0" w:tplc="081A35E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6EE17464"/>
    <w:multiLevelType w:val="hybridMultilevel"/>
    <w:tmpl w:val="31B44914"/>
    <w:lvl w:ilvl="0" w:tplc="1B68E76C">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356775"/>
    <w:multiLevelType w:val="hybridMultilevel"/>
    <w:tmpl w:val="893E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6"/>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5B03"/>
    <w:rsid w:val="00007EAE"/>
    <w:rsid w:val="00073A50"/>
    <w:rsid w:val="00097FFC"/>
    <w:rsid w:val="001862C1"/>
    <w:rsid w:val="00197CB9"/>
    <w:rsid w:val="001B4D28"/>
    <w:rsid w:val="00201A3E"/>
    <w:rsid w:val="00275E6E"/>
    <w:rsid w:val="0029130C"/>
    <w:rsid w:val="00293818"/>
    <w:rsid w:val="0029741B"/>
    <w:rsid w:val="002B2148"/>
    <w:rsid w:val="003504D6"/>
    <w:rsid w:val="0038443A"/>
    <w:rsid w:val="003D6F6A"/>
    <w:rsid w:val="00402D82"/>
    <w:rsid w:val="0048094D"/>
    <w:rsid w:val="004C4EF5"/>
    <w:rsid w:val="00507275"/>
    <w:rsid w:val="00561B42"/>
    <w:rsid w:val="0058606D"/>
    <w:rsid w:val="005E1AD7"/>
    <w:rsid w:val="005E4EF5"/>
    <w:rsid w:val="005E5D31"/>
    <w:rsid w:val="00603809"/>
    <w:rsid w:val="0066613C"/>
    <w:rsid w:val="00666C05"/>
    <w:rsid w:val="00682569"/>
    <w:rsid w:val="006A0C8F"/>
    <w:rsid w:val="006A6091"/>
    <w:rsid w:val="006B5342"/>
    <w:rsid w:val="006E161C"/>
    <w:rsid w:val="00727A03"/>
    <w:rsid w:val="007E6C1E"/>
    <w:rsid w:val="007F26B6"/>
    <w:rsid w:val="00857960"/>
    <w:rsid w:val="008C4BBF"/>
    <w:rsid w:val="008F39FC"/>
    <w:rsid w:val="00920306"/>
    <w:rsid w:val="00960CBB"/>
    <w:rsid w:val="00980C8B"/>
    <w:rsid w:val="00A13003"/>
    <w:rsid w:val="00AD4BB0"/>
    <w:rsid w:val="00AF29C2"/>
    <w:rsid w:val="00B36DA3"/>
    <w:rsid w:val="00BA37D6"/>
    <w:rsid w:val="00BE594E"/>
    <w:rsid w:val="00C00268"/>
    <w:rsid w:val="00C046EB"/>
    <w:rsid w:val="00C10462"/>
    <w:rsid w:val="00C11CB1"/>
    <w:rsid w:val="00C7108C"/>
    <w:rsid w:val="00D27C72"/>
    <w:rsid w:val="00D63C0D"/>
    <w:rsid w:val="00D65781"/>
    <w:rsid w:val="00D76648"/>
    <w:rsid w:val="00DB61AF"/>
    <w:rsid w:val="00E55190"/>
    <w:rsid w:val="00E61AF6"/>
    <w:rsid w:val="00EA57A7"/>
    <w:rsid w:val="00EB0944"/>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link w:val="af6"/>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7">
    <w:name w:val="Body Text Indent"/>
    <w:basedOn w:val="a"/>
    <w:uiPriority w:val="99"/>
    <w:unhideWhenUsed/>
    <w:rsid w:val="00AC64EE"/>
    <w:pPr>
      <w:spacing w:after="120"/>
      <w:ind w:left="283"/>
    </w:pPr>
  </w:style>
  <w:style w:type="paragraph" w:styleId="af8">
    <w:name w:val="footer"/>
    <w:basedOn w:val="a"/>
    <w:uiPriority w:val="99"/>
    <w:unhideWhenUsed/>
    <w:rsid w:val="00F2316A"/>
    <w:pPr>
      <w:tabs>
        <w:tab w:val="center" w:pos="4677"/>
        <w:tab w:val="right" w:pos="9355"/>
      </w:tabs>
      <w:spacing w:after="0" w:line="240" w:lineRule="auto"/>
    </w:pPr>
  </w:style>
  <w:style w:type="table" w:styleId="af9">
    <w:name w:val="Table Grid"/>
    <w:basedOn w:val="a1"/>
    <w:uiPriority w:val="5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а Знак"/>
    <w:link w:val="af5"/>
    <w:uiPriority w:val="34"/>
    <w:locked/>
    <w:rsid w:val="00275E6E"/>
    <w:rPr>
      <w:rFonts w:ascii="Times New Roman" w:eastAsia="Times New Roman" w:hAnsi="Times New Roman" w:cs="Times New Roman"/>
      <w:sz w:val="20"/>
      <w:szCs w:val="20"/>
      <w:lang w:eastAsia="ru-RU"/>
    </w:rPr>
  </w:style>
  <w:style w:type="paragraph" w:customStyle="1" w:styleId="Textbody">
    <w:name w:val="Text body"/>
    <w:basedOn w:val="Standard"/>
    <w:rsid w:val="0029130C"/>
    <w:pPr>
      <w:autoSpaceDN w:val="0"/>
      <w:spacing w:after="140" w:line="288" w:lineRule="auto"/>
    </w:pPr>
    <w:rPr>
      <w:rFonts w:ascii="Liberation Serif" w:eastAsia="SimSun" w:hAnsi="Liberation Serif" w:cs="Mangal"/>
      <w:kern w:val="3"/>
      <w:lang w:val="en-US" w:eastAsia="zh-CN" w:bidi="hi-IN"/>
    </w:rPr>
  </w:style>
  <w:style w:type="numbering" w:customStyle="1" w:styleId="WWNum4">
    <w:name w:val="WWNum4"/>
    <w:basedOn w:val="a2"/>
    <w:rsid w:val="0029130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11</Pages>
  <Words>4557</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55</cp:revision>
  <dcterms:created xsi:type="dcterms:W3CDTF">2020-11-16T08:29:00Z</dcterms:created>
  <dcterms:modified xsi:type="dcterms:W3CDTF">2021-12-14T11:28:00Z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